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0040" cy="2169795"/>
            <wp:effectExtent b="0" l="0" r="0" t="0"/>
            <wp:docPr descr="Logotipo&#10;&#10;Descrição gerada automaticamente com confiança baixa" id="4" name="image1.png"/>
            <a:graphic>
              <a:graphicData uri="http://schemas.openxmlformats.org/drawingml/2006/picture">
                <pic:pic>
                  <pic:nvPicPr>
                    <pic:cNvPr descr="Logotipo&#10;&#10;Descrição gerada automaticamente com confiança baixa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  <w:sz w:val="72"/>
          <w:szCs w:val="72"/>
        </w:rPr>
      </w:pPr>
      <w:r w:rsidDel="00000000" w:rsidR="00000000" w:rsidRPr="00000000">
        <w:rPr>
          <w:rFonts w:ascii="Arial" w:cs="Arial" w:eastAsia="Arial" w:hAnsi="Arial"/>
          <w:sz w:val="72"/>
          <w:szCs w:val="72"/>
          <w:rtl w:val="0"/>
        </w:rPr>
        <w:t xml:space="preserve">Relatório de CTF</w:t>
      </w:r>
    </w:p>
    <w:p w:rsidR="00000000" w:rsidDel="00000000" w:rsidP="00000000" w:rsidRDefault="00000000" w:rsidRPr="00000000" w14:paraId="00000004">
      <w:pPr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Título do CTF – Plataforma</w:t>
      </w:r>
    </w:p>
    <w:p w:rsidR="00000000" w:rsidDel="00000000" w:rsidP="00000000" w:rsidRDefault="00000000" w:rsidRPr="00000000" w14:paraId="0000000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493.0" w:type="dxa"/>
        <w:jc w:val="left"/>
        <w:tblInd w:w="-108.0" w:type="dxa"/>
        <w:tblLayout w:type="fixed"/>
        <w:tblLook w:val="0400"/>
      </w:tblPr>
      <w:tblGrid>
        <w:gridCol w:w="4247"/>
        <w:gridCol w:w="4246"/>
        <w:tblGridChange w:id="0">
          <w:tblGrid>
            <w:gridCol w:w="4247"/>
            <w:gridCol w:w="424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1e4f5" w:val="clear"/>
            <w:vAlign w:val="center"/>
          </w:tcPr>
          <w:p w:rsidR="00000000" w:rsidDel="00000000" w:rsidP="00000000" w:rsidRDefault="00000000" w:rsidRPr="00000000" w14:paraId="00000006">
            <w:pPr>
              <w:spacing w:after="160" w:before="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Informações do documento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Referência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Picker I – PicoCTF</w:t>
            </w:r>
          </w:p>
        </w:tc>
      </w:tr>
      <w:tr>
        <w:trPr>
          <w:cantSplit w:val="0"/>
          <w:trHeight w:val="42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N° Revisão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B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Data de publicação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D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14/03/2025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https://play.picoctf.org/practice/challenge/400?category=3&amp;page=1</w:t>
            </w:r>
          </w:p>
        </w:tc>
      </w:tr>
    </w:tbl>
    <w:p w:rsidR="00000000" w:rsidDel="00000000" w:rsidP="00000000" w:rsidRDefault="00000000" w:rsidRPr="00000000" w14:paraId="00000010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left"/>
        <w:tblInd w:w="-108.0" w:type="dxa"/>
        <w:tblLayout w:type="fixed"/>
        <w:tblLook w:val="0400"/>
      </w:tblPr>
      <w:tblGrid>
        <w:gridCol w:w="2831"/>
        <w:gridCol w:w="2831"/>
        <w:gridCol w:w="2832"/>
        <w:tblGridChange w:id="0">
          <w:tblGrid>
            <w:gridCol w:w="2831"/>
            <w:gridCol w:w="2831"/>
            <w:gridCol w:w="2832"/>
          </w:tblGrid>
        </w:tblGridChange>
      </w:tblGrid>
      <w:tr>
        <w:trPr>
          <w:cantSplit w:val="0"/>
          <w:trHeight w:val="3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Redação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2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Matheus da Cunha Castilho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Estudante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4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Revisão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Sérgio Guidi Trovo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6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Orientador</w:t>
            </w:r>
          </w:p>
        </w:tc>
      </w:tr>
      <w:tr>
        <w:trPr>
          <w:cantSplit w:val="0"/>
          <w:trHeight w:val="42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Aprovação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Sérgio Guidi Trovo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9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Diretor</w:t>
            </w:r>
          </w:p>
        </w:tc>
      </w:tr>
    </w:tbl>
    <w:p w:rsidR="00000000" w:rsidDel="00000000" w:rsidP="00000000" w:rsidRDefault="00000000" w:rsidRPr="00000000" w14:paraId="0000001A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494.0" w:type="dxa"/>
        <w:jc w:val="left"/>
        <w:tblInd w:w="-108.0" w:type="dxa"/>
        <w:tblLayout w:type="fixed"/>
        <w:tblLook w:val="0400"/>
      </w:tblPr>
      <w:tblGrid>
        <w:gridCol w:w="704"/>
        <w:gridCol w:w="2126"/>
        <w:gridCol w:w="5664"/>
        <w:tblGridChange w:id="0">
          <w:tblGrid>
            <w:gridCol w:w="704"/>
            <w:gridCol w:w="2126"/>
            <w:gridCol w:w="5664"/>
          </w:tblGrid>
        </w:tblGridChange>
      </w:tblGrid>
      <w:tr>
        <w:trPr>
          <w:cantSplit w:val="0"/>
          <w:trHeight w:val="368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spacing w:after="160" w:before="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Histórico de revisões</w:t>
            </w:r>
          </w:p>
        </w:tc>
      </w:tr>
      <w:tr>
        <w:trPr>
          <w:cantSplit w:val="0"/>
          <w:trHeight w:val="4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Entregas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14/03/2025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3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Produção</w:t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4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5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DD/MM/AAAA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Revisão</w:t>
            </w:r>
          </w:p>
        </w:tc>
      </w:tr>
      <w:tr>
        <w:trPr>
          <w:cantSplit w:val="0"/>
          <w:trHeight w:val="40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DD/MM/AAAA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Aprovação</w:t>
            </w:r>
          </w:p>
        </w:tc>
      </w:tr>
    </w:tbl>
    <w:p w:rsidR="00000000" w:rsidDel="00000000" w:rsidP="00000000" w:rsidRDefault="00000000" w:rsidRPr="00000000" w14:paraId="0000002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493.0" w:type="dxa"/>
        <w:jc w:val="left"/>
        <w:tblInd w:w="-108.0" w:type="dxa"/>
        <w:tblLayout w:type="fixed"/>
        <w:tblLook w:val="0400"/>
      </w:tblPr>
      <w:tblGrid>
        <w:gridCol w:w="4247"/>
        <w:gridCol w:w="4246"/>
        <w:tblGridChange w:id="0">
          <w:tblGrid>
            <w:gridCol w:w="4247"/>
            <w:gridCol w:w="424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1e4f5" w:val="clear"/>
            <w:vAlign w:val="center"/>
          </w:tcPr>
          <w:p w:rsidR="00000000" w:rsidDel="00000000" w:rsidP="00000000" w:rsidRDefault="00000000" w:rsidRPr="00000000" w14:paraId="0000002D">
            <w:pPr>
              <w:spacing w:after="160" w:before="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Informações do CTF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Nível de Dificuldade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0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Média</w:t>
            </w:r>
          </w:p>
        </w:tc>
      </w:tr>
      <w:tr>
        <w:trPr>
          <w:cantSplit w:val="0"/>
          <w:trHeight w:val="42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1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Tipo de acesso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2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Gratuito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Conceitos envolvidos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4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Engenharia Reversa, Criptografia, Lógica de Programação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Plataforma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PicoCTF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7">
            <w:pPr>
              <w:spacing w:after="160" w:before="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Área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spacing w:after="160" w:before="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Red</w:t>
            </w:r>
          </w:p>
        </w:tc>
      </w:tr>
    </w:tbl>
    <w:p w:rsidR="00000000" w:rsidDel="00000000" w:rsidP="00000000" w:rsidRDefault="00000000" w:rsidRPr="00000000" w14:paraId="0000003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B">
          <w:pPr>
            <w:tabs>
              <w:tab w:val="right" w:leader="none" w:pos="8494"/>
            </w:tabs>
            <w:spacing w:after="100" w:before="0" w:lineRule="auto"/>
            <w:rPr>
              <w:color w:val="000000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color w:val="000000"/>
                <w:rtl w:val="0"/>
              </w:rPr>
              <w:t xml:space="preserve">Contextualização</w:t>
            </w:r>
          </w:hyperlink>
          <w:hyperlink w:anchor="_1t3h5sf">
            <w:r w:rsidDel="00000000" w:rsidR="00000000" w:rsidRPr="00000000">
              <w:rPr>
                <w:color w:val="000000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leader="none" w:pos="8494"/>
            </w:tabs>
            <w:spacing w:after="100" w:before="0" w:lineRule="auto"/>
            <w:rPr>
              <w:color w:val="000000"/>
              <w:sz w:val="24"/>
              <w:szCs w:val="24"/>
            </w:rPr>
          </w:pPr>
          <w:hyperlink w:anchor="_30j0zll">
            <w:r w:rsidDel="00000000" w:rsidR="00000000" w:rsidRPr="00000000">
              <w:rPr>
                <w:color w:val="000000"/>
                <w:rtl w:val="0"/>
              </w:rPr>
              <w:t xml:space="preserve">Desenvolvimento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leader="none" w:pos="8494"/>
            </w:tabs>
            <w:spacing w:after="100" w:before="0" w:lineRule="auto"/>
            <w:ind w:left="220" w:firstLine="0"/>
            <w:rPr>
              <w:color w:val="000000"/>
              <w:sz w:val="24"/>
              <w:szCs w:val="24"/>
            </w:rPr>
          </w:pPr>
          <w:r w:rsidDel="00000000" w:rsidR="00000000" w:rsidRPr="00000000">
            <w:rPr>
              <w:color w:val="000000"/>
              <w:sz w:val="24"/>
              <w:szCs w:val="24"/>
              <w:rtl w:val="0"/>
            </w:rPr>
            <w:t xml:space="preserve">Servidor</w:t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color w:val="000000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leader="none" w:pos="8494"/>
            </w:tabs>
            <w:spacing w:after="100" w:before="0" w:lineRule="auto"/>
            <w:ind w:left="220" w:firstLine="0"/>
            <w:rPr>
              <w:color w:val="000000"/>
              <w:sz w:val="24"/>
              <w:szCs w:val="24"/>
            </w:rPr>
          </w:pPr>
          <w:r w:rsidDel="00000000" w:rsidR="00000000" w:rsidRPr="00000000">
            <w:rPr>
              <w:color w:val="000000"/>
              <w:sz w:val="24"/>
              <w:szCs w:val="24"/>
              <w:rtl w:val="0"/>
            </w:rPr>
            <w:t xml:space="preserve">Descriptografia</w:t>
          </w:r>
          <w:hyperlink w:anchor="_2et92p0">
            <w:r w:rsidDel="00000000" w:rsidR="00000000" w:rsidRPr="00000000">
              <w:rPr>
                <w:color w:val="000000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leader="none" w:pos="8494"/>
            </w:tabs>
            <w:spacing w:after="100" w:before="0" w:lineRule="auto"/>
            <w:rPr>
              <w:color w:val="000000"/>
              <w:sz w:val="24"/>
              <w:szCs w:val="24"/>
            </w:rPr>
          </w:pPr>
          <w:hyperlink w:anchor="_tyjcwt">
            <w:r w:rsidDel="00000000" w:rsidR="00000000" w:rsidRPr="00000000">
              <w:rPr>
                <w:color w:val="000000"/>
                <w:rtl w:val="0"/>
              </w:rPr>
              <w:t xml:space="preserve">Conclusão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leader="none" w:pos="8494"/>
            </w:tabs>
            <w:spacing w:after="100" w:before="0" w:lineRule="auto"/>
            <w:rPr>
              <w:color w:val="000000"/>
              <w:sz w:val="24"/>
              <w:szCs w:val="24"/>
            </w:rPr>
          </w:pPr>
          <w:hyperlink w:anchor="_3dy6vkm">
            <w:r w:rsidDel="00000000" w:rsidR="00000000" w:rsidRPr="00000000">
              <w:rPr>
                <w:color w:val="000000"/>
                <w:rtl w:val="0"/>
              </w:rPr>
              <w:t xml:space="preserve">Referências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1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360" w:lineRule="auto"/>
        <w:rPr>
          <w:rFonts w:ascii="Arial" w:cs="Arial" w:eastAsia="Arial" w:hAnsi="Arial"/>
          <w:b w:val="1"/>
          <w:smallCaps w:val="1"/>
          <w:color w:val="000000"/>
          <w:sz w:val="32"/>
          <w:szCs w:val="32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360" w:lineRule="auto"/>
        <w:rPr>
          <w:rFonts w:ascii="Arial" w:cs="Arial" w:eastAsia="Arial" w:hAnsi="Arial"/>
          <w:b w:val="1"/>
          <w:smallCaps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0"/>
        </w:rPr>
        <w:t xml:space="preserve">Contextualização</w:t>
      </w:r>
    </w:p>
    <w:p w:rsidR="00000000" w:rsidDel="00000000" w:rsidP="00000000" w:rsidRDefault="00000000" w:rsidRPr="00000000" w14:paraId="0000004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CTF em questão possui base em análise de código e lógica, exigindo que o usuário busque maneiras de lidar com as funções declaradas no servidor a fim de obter a flag. Pode ser considerado um CTF simples, que demanda apenas de conhecimento em lógica de programação, e um pouco de criptografia, para ser realizado.</w:t>
      </w:r>
    </w:p>
    <w:p w:rsidR="00000000" w:rsidDel="00000000" w:rsidP="00000000" w:rsidRDefault="00000000" w:rsidRPr="00000000" w14:paraId="00000050">
      <w:pPr>
        <w:spacing w:after="0" w:before="0" w:line="360" w:lineRule="auto"/>
        <w:rPr>
          <w:rFonts w:ascii="Arial" w:cs="Arial" w:eastAsia="Arial" w:hAnsi="Arial"/>
          <w:b w:val="1"/>
          <w:smallCaps w:val="1"/>
          <w:color w:val="000000"/>
          <w:sz w:val="32"/>
          <w:szCs w:val="32"/>
        </w:rPr>
      </w:pPr>
      <w:bookmarkStart w:colFirst="0" w:colLast="0" w:name="_30j0zll" w:id="1"/>
      <w:bookmarkEnd w:id="1"/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0"/>
        </w:rPr>
        <w:t xml:space="preserve">Desenvolvimento</w:t>
      </w:r>
    </w:p>
    <w:p w:rsidR="00000000" w:rsidDel="00000000" w:rsidP="00000000" w:rsidRDefault="00000000" w:rsidRPr="00000000" w14:paraId="00000051">
      <w:pPr>
        <w:spacing w:after="0" w:before="0" w:line="360" w:lineRule="auto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24"/>
          <w:szCs w:val="24"/>
          <w:rtl w:val="0"/>
        </w:rPr>
        <w:t xml:space="preserve">Servidor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0" w:line="360" w:lineRule="auto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99730" cy="4445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iniciar a instância, obtemos um servidor para se conectar utilizando o netcat. Em seguida, ele pede para inserir o texto “getRandomNumber”, e ao inserir, obtemos sempre o número 4.</w:t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99730" cy="5803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analisar o código, vemos que essa função realmente retorna sempre o número 4. Também é possível observar algumas outras funções.</w:t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99730" cy="2882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Uma destas funções, é a função “win”, que ao analisar o código, percebemos que ela abre um arquivo chamado flag.txt no servidor, e printa cada caractere desta flag em hexadecimal.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99730" cy="2882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Descriptografia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Então, ao executar “win” no terminal com o servidor, obtemos um texto em hexadecimal.</w:t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99730" cy="2882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descriptografar, obtemos a flag.</w:t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99730" cy="2882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before="0" w:line="360" w:lineRule="auto"/>
        <w:rPr>
          <w:rFonts w:ascii="Arial" w:cs="Arial" w:eastAsia="Arial" w:hAnsi="Arial"/>
          <w:b w:val="1"/>
          <w:smallCaps w:val="1"/>
          <w:sz w:val="24"/>
          <w:szCs w:val="24"/>
        </w:rPr>
      </w:pPr>
      <w:bookmarkStart w:colFirst="0" w:colLast="0" w:name="_stvcyp6rt18r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0" w:line="360" w:lineRule="auto"/>
        <w:rPr>
          <w:rFonts w:ascii="Arial" w:cs="Arial" w:eastAsia="Arial" w:hAnsi="Arial"/>
          <w:b w:val="1"/>
          <w:smallCaps w:val="1"/>
          <w:color w:val="000000"/>
          <w:sz w:val="32"/>
          <w:szCs w:val="32"/>
        </w:rPr>
      </w:pPr>
      <w:bookmarkStart w:colFirst="0" w:colLast="0" w:name="_tyjcwt" w:id="3"/>
      <w:bookmarkEnd w:id="3"/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0"/>
        </w:rPr>
        <w:t xml:space="preserve">Conclusão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CTF realizado pode ser considerado um exercício básico para introdução à engenharia reversa, por conter tanto princípios de lógica, quanto de análise de código. Além disso, possui um hash simples para descriptografar e obter a flag, necessitando de conhecimentos básicos em hash para realizar. Com isso, conclui-se que o CTF em questão pode ser uma boa porta de entrada para iniciantes em engenharia reversa, e em programação.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before="0" w:line="360" w:lineRule="auto"/>
        <w:rPr>
          <w:rFonts w:ascii="Arial" w:cs="Arial" w:eastAsia="Arial" w:hAnsi="Arial"/>
          <w:b w:val="1"/>
          <w:smallCaps w:val="1"/>
          <w:color w:val="000000"/>
          <w:sz w:val="32"/>
          <w:szCs w:val="32"/>
        </w:rPr>
      </w:pPr>
      <w:bookmarkStart w:colFirst="0" w:colLast="0" w:name="_3dy6vkm" w:id="4"/>
      <w:bookmarkEnd w:id="4"/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077">
      <w:pPr>
        <w:spacing w:after="160" w:before="0" w:lineRule="auto"/>
        <w:rPr>
          <w:rFonts w:ascii="Arial" w:cs="Arial" w:eastAsia="Arial" w:hAnsi="Arial"/>
          <w:sz w:val="24"/>
          <w:szCs w:val="24"/>
        </w:rPr>
      </w:pPr>
      <w:hyperlink r:id="rId13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https://docs.oracle.com/cd/E36784_01/html/E36870/netcat-1.html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60" w:before="0" w:lineRule="auto"/>
        <w:rPr>
          <w:rFonts w:ascii="Arial" w:cs="Arial" w:eastAsia="Arial" w:hAnsi="Arial"/>
          <w:sz w:val="24"/>
          <w:szCs w:val="24"/>
        </w:rPr>
      </w:pPr>
      <w:hyperlink r:id="rId14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https://gchq.github.io/CyberChef/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60" w:before="0" w:lineRule="auto"/>
        <w:rPr>
          <w:rFonts w:ascii="Arial" w:cs="Arial" w:eastAsia="Arial" w:hAnsi="Arial"/>
          <w:sz w:val="24"/>
          <w:szCs w:val="24"/>
        </w:rPr>
      </w:pPr>
      <w:hyperlink r:id="rId15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https://docs.python.org/3/library/functions.html#open</w:t>
        </w:r>
      </w:hyperlink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headerReference r:id="rId18" w:type="even"/>
      <w:footerReference r:id="rId19" w:type="default"/>
      <w:footerReference r:id="rId20" w:type="first"/>
      <w:footerReference r:id="rId21" w:type="even"/>
      <w:pgSz w:h="16838" w:w="11906" w:orient="portrait"/>
      <w:pgMar w:bottom="1417" w:top="1417" w:left="1701" w:right="1701" w:header="708" w:footer="26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F">
    <w:pPr>
      <w:tabs>
        <w:tab w:val="center" w:leader="none" w:pos="4252"/>
        <w:tab w:val="right" w:leader="none" w:pos="8504"/>
      </w:tabs>
      <w:spacing w:after="0" w:before="0" w:line="240" w:lineRule="auto"/>
      <w:jc w:val="center"/>
      <w:rPr>
        <w:color w:val="000000"/>
      </w:rPr>
    </w:pPr>
    <w:r w:rsidDel="00000000" w:rsidR="00000000" w:rsidRPr="00000000">
      <w:rPr>
        <w:color w:val="000000"/>
        <w:rtl w:val="0"/>
      </w:rPr>
      <w:t xml:space="preserve">AAAA | @Guardian Mauá | Confidencial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B">
    <w:pPr>
      <w:keepNext w:val="1"/>
      <w:keepLines w:val="1"/>
      <w:tabs>
        <w:tab w:val="center" w:leader="none" w:pos="4252"/>
        <w:tab w:val="right" w:leader="none" w:pos="8504"/>
      </w:tabs>
      <w:spacing w:after="0" w:before="240" w:lineRule="auto"/>
      <w:rPr>
        <w:rFonts w:ascii="Arial" w:cs="Arial" w:eastAsia="Arial" w:hAnsi="Arial"/>
        <w:b w:val="1"/>
        <w:sz w:val="32"/>
        <w:szCs w:val="32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90" cy="542925"/>
          <wp:effectExtent b="0" l="0" r="0" t="0"/>
          <wp:wrapNone/>
          <wp:docPr id="8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943590" cy="54292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5358130</wp:posOffset>
          </wp:positionH>
          <wp:positionV relativeFrom="paragraph">
            <wp:posOffset>-354329</wp:posOffset>
          </wp:positionV>
          <wp:extent cx="875030" cy="351790"/>
          <wp:effectExtent b="0" l="0" r="0" t="0"/>
          <wp:wrapNone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C">
    <w:pPr>
      <w:tabs>
        <w:tab w:val="center" w:leader="none" w:pos="4252"/>
        <w:tab w:val="right" w:leader="none" w:pos="8504"/>
      </w:tabs>
      <w:spacing w:after="0" w:before="0" w:line="240" w:lineRule="auto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before="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3.xml"/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21" Type="http://schemas.openxmlformats.org/officeDocument/2006/relationships/footer" Target="footer1.xml"/><Relationship Id="rId13" Type="http://schemas.openxmlformats.org/officeDocument/2006/relationships/hyperlink" Target="https://docs.oracle.com/cd/E36784_01/html/E36870/netcat-1.html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hyperlink" Target="https://docs.python.org/3/library/functions.html#open" TargetMode="External"/><Relationship Id="rId14" Type="http://schemas.openxmlformats.org/officeDocument/2006/relationships/hyperlink" Target="https://gchq.github.io/CyberChef/" TargetMode="External"/><Relationship Id="rId17" Type="http://schemas.openxmlformats.org/officeDocument/2006/relationships/header" Target="header3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image" Target="media/image1.png"/><Relationship Id="rId18" Type="http://schemas.openxmlformats.org/officeDocument/2006/relationships/header" Target="header1.xml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